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</w:tblGrid>
      <w:tr w:rsidR="00E53170" w:rsidRPr="00F93594" w:rsidTr="00F93594">
        <w:trPr>
          <w:trHeight w:val="15"/>
        </w:trPr>
        <w:tc>
          <w:tcPr>
            <w:tcW w:w="5092" w:type="dxa"/>
            <w:tcBorders>
              <w:top w:val="thinThickThinSmallGap" w:sz="12" w:space="0" w:color="00B050"/>
              <w:left w:val="thinThickThinSmallGap" w:sz="12" w:space="0" w:color="00B050"/>
              <w:bottom w:val="thinThickThinSmallGap" w:sz="24" w:space="0" w:color="00B050"/>
              <w:right w:val="thinThickThinSmallGap" w:sz="12" w:space="0" w:color="00B050"/>
            </w:tcBorders>
          </w:tcPr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В соответствии с Федеральным Законом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от 15 мая 1991 года № 1244-1 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«О социальной защите граждан, подвергшихся воздействию радиации вследствие катастрофы на Чернобыльской АЭС», работающие  граждане, постоянно проживающие (работающие) на территории зоны проживания с льготным социально-экономическим статусом</w:t>
            </w:r>
            <w:r w:rsidR="004F0988"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,</w:t>
            </w: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 имеют право на меры социальной поддержки: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1) ежемесячная денежная компенсация при условии постоянного проживания до 2 декабря 1995 года;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proofErr w:type="gramStart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2) ежемесячная денежная компенсация работающим в организациях зоны независимо от организационно-правовой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при условии постоянного проживания (работы) до 2 декабря 1995 года;</w:t>
            </w:r>
            <w:proofErr w:type="gramEnd"/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3) ежегодный дополнительный оплачиваемый отпуск </w:t>
            </w:r>
            <w:proofErr w:type="gramStart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работающим</w:t>
            </w:r>
            <w:proofErr w:type="gramEnd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(работы) до 2 декабря 1995 года;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4) выплата дополнительного вознаграждения за выслугу лет в зависимости от стажа работы в данной зоне и степени ее радиоактивного загрязнения;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5) ежемесячн</w:t>
            </w:r>
            <w:r w:rsidR="000639CF" w:rsidRPr="000639CF">
              <w:rPr>
                <w:rFonts w:ascii="Times New Roman" w:eastAsia="Arial Unicode MS" w:hAnsi="Times New Roman"/>
                <w:sz w:val="21"/>
                <w:szCs w:val="21"/>
              </w:rPr>
              <w:t>ая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 </w:t>
            </w:r>
            <w:r w:rsidR="000639CF"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денежная компенсация 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на период отпуска по уходу за ребенком до достижения им возраста трех лет;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6) пособие по беременности и родам в размере 100 процентов среднего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год, независимо от стажа работы;</w:t>
            </w:r>
          </w:p>
          <w:p w:rsidR="00E53170" w:rsidRPr="000639CF" w:rsidRDefault="00E53170" w:rsidP="00F93594">
            <w:pPr>
              <w:pStyle w:val="ConsNormal"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8) </w:t>
            </w:r>
            <w:r w:rsidR="004F0988" w:rsidRPr="000639CF">
              <w:rPr>
                <w:rFonts w:ascii="Times New Roman" w:eastAsia="Arial Unicode MS" w:hAnsi="Times New Roman"/>
                <w:sz w:val="21"/>
                <w:szCs w:val="21"/>
              </w:rPr>
              <w:t>е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жемесячная денежная выплата, назначаемая Пенсионным Фондом РФ.</w:t>
            </w:r>
          </w:p>
          <w:p w:rsidR="00917A96" w:rsidRDefault="00917A96" w:rsidP="00917A96">
            <w:pPr>
              <w:pStyle w:val="a8"/>
              <w:ind w:firstLine="709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  <w:t xml:space="preserve"> </w:t>
            </w:r>
          </w:p>
          <w:p w:rsidR="000639CF" w:rsidRDefault="000639CF" w:rsidP="00917A96">
            <w:pPr>
              <w:pStyle w:val="a8"/>
              <w:ind w:firstLine="709"/>
              <w:rPr>
                <w:color w:val="009900"/>
                <w:sz w:val="22"/>
                <w:szCs w:val="22"/>
              </w:rPr>
            </w:pPr>
          </w:p>
          <w:p w:rsidR="000639CF" w:rsidRPr="00FB55D1" w:rsidRDefault="000639CF" w:rsidP="00917A96">
            <w:pPr>
              <w:pStyle w:val="a8"/>
              <w:ind w:firstLine="709"/>
              <w:rPr>
                <w:szCs w:val="28"/>
              </w:rPr>
            </w:pPr>
          </w:p>
          <w:p w:rsidR="00A328E7" w:rsidRDefault="00A328E7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A328E7" w:rsidRDefault="00A328E7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Более подробную информацию Вы можете получить в управлении социальной защиты населения администрации Алексеевского района</w:t>
            </w: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по адресу: </w:t>
            </w:r>
            <w:proofErr w:type="gramStart"/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г</w:t>
            </w:r>
            <w:proofErr w:type="gramEnd"/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. Алексеевка, </w:t>
            </w: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пл. Победы, 75, кабинеты 9,11.</w:t>
            </w:r>
          </w:p>
          <w:p w:rsidR="00E53170" w:rsidRPr="000639CF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E53170" w:rsidRPr="000639CF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ГРАФИК РАБОТЫ: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ПОНЕДЕЛЬНИК-ПЯТНИЦА 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с 09-00 до 18-00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ПЕРЕРЫВ с 13-00 до 14-00 </w:t>
            </w:r>
          </w:p>
          <w:p w:rsidR="007264BE" w:rsidRPr="000639CF" w:rsidRDefault="007264BE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Pr="00F93594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E53170" w:rsidRPr="00F93594" w:rsidRDefault="00C517CC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  <w:r w:rsidRPr="00C517CC">
              <w:rPr>
                <w:rFonts w:cs="Aparajita"/>
                <w:noProof/>
                <w:color w:val="0099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63.85pt;height:108.6pt;visibility:visible">
                  <v:imagedata r:id="rId4" o:title=""/>
                </v:shape>
              </w:pic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917A96" w:rsidRPr="00F93594" w:rsidRDefault="00917A96" w:rsidP="00917A96">
            <w:pPr>
              <w:spacing w:after="0" w:line="240" w:lineRule="auto"/>
              <w:jc w:val="center"/>
              <w:rPr>
                <w:rFonts w:ascii="Bernard MT Condensed" w:hAnsi="Bernard MT Condensed" w:cs="Aparajita"/>
                <w:color w:val="009900"/>
              </w:rPr>
            </w:pPr>
            <w:r>
              <w:rPr>
                <w:rFonts w:ascii="Century" w:hAnsi="Century" w:cs="Aparajita"/>
                <w:color w:val="009900"/>
              </w:rPr>
              <w:t>КОНТАКТНЫЙ ТЕЛЕФОН:</w:t>
            </w:r>
          </w:p>
          <w:p w:rsidR="00917A96" w:rsidRPr="00F93594" w:rsidRDefault="00917A96" w:rsidP="00917A96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  <w:r w:rsidRPr="00F93594">
              <w:rPr>
                <w:rFonts w:ascii="Bernard MT Condensed" w:hAnsi="Bernard MT Condensed" w:cs="Aparajita"/>
                <w:color w:val="009900"/>
              </w:rPr>
              <w:t xml:space="preserve"> 8 (47234) 4-46-94</w:t>
            </w:r>
          </w:p>
          <w:p w:rsidR="00E53170" w:rsidRDefault="00E53170" w:rsidP="00F93594">
            <w:pPr>
              <w:spacing w:after="0" w:line="240" w:lineRule="auto"/>
              <w:jc w:val="center"/>
              <w:rPr>
                <w:color w:val="009900"/>
              </w:rPr>
            </w:pPr>
          </w:p>
          <w:p w:rsidR="000639CF" w:rsidRPr="00F93594" w:rsidRDefault="000639CF" w:rsidP="00F93594">
            <w:pPr>
              <w:spacing w:after="0" w:line="240" w:lineRule="auto"/>
              <w:jc w:val="center"/>
              <w:rPr>
                <w:color w:val="009900"/>
              </w:rPr>
            </w:pPr>
          </w:p>
          <w:p w:rsidR="00E53170" w:rsidRDefault="00E53170" w:rsidP="00F93594">
            <w:pPr>
              <w:spacing w:after="0" w:line="240" w:lineRule="auto"/>
            </w:pPr>
          </w:p>
          <w:p w:rsidR="007264BE" w:rsidRDefault="007264BE" w:rsidP="00F93594">
            <w:pPr>
              <w:spacing w:after="0" w:line="240" w:lineRule="auto"/>
            </w:pP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Управление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социальной защиты населения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администрации муниципального района «Алексеевский район и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Monotype Corsiva" w:hAnsi="Monotype Corsiva" w:cs="AngsanaUPC"/>
                <w:b/>
                <w:color w:val="00CC00"/>
                <w:sz w:val="28"/>
                <w:szCs w:val="28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город Алексеевка»</w:t>
            </w:r>
          </w:p>
          <w:p w:rsidR="00E53170" w:rsidRPr="00F93594" w:rsidRDefault="00E53170" w:rsidP="00F93594">
            <w:pPr>
              <w:pStyle w:val="a7"/>
              <w:spacing w:after="0" w:line="240" w:lineRule="auto"/>
              <w:jc w:val="center"/>
              <w:rPr>
                <w:rStyle w:val="a6"/>
                <w:rFonts w:ascii="Monotype Corsiva" w:hAnsi="Monotype Corsiva" w:cs="AngsanaUPC"/>
                <w:color w:val="009900"/>
              </w:rPr>
            </w:pPr>
          </w:p>
          <w:p w:rsidR="00E53170" w:rsidRPr="00F93594" w:rsidRDefault="00C517CC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  <w:r w:rsidRPr="00C517CC">
              <w:rPr>
                <w:rStyle w:val="a6"/>
                <w:rFonts w:ascii="Monotype Corsiva" w:hAnsi="Monotype Corsiva" w:cs="AngsanaUPC"/>
                <w:i w:val="0"/>
                <w:iCs w:val="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53.3pt;height:39.7pt" adj=",10800" fillcolor="#063" strokecolor="green">
                  <v:fill r:id="rId5" o:title="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ПАМЯТКА"/>
                </v:shape>
              </w:pict>
            </w:r>
          </w:p>
          <w:p w:rsidR="00E53170" w:rsidRPr="00F93594" w:rsidRDefault="00E53170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</w:p>
          <w:p w:rsidR="00E53170" w:rsidRPr="00F93594" w:rsidRDefault="00C517CC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  <w:r w:rsidRPr="00C517CC">
              <w:rPr>
                <w:rStyle w:val="a6"/>
                <w:rFonts w:ascii="Monotype Corsiva" w:hAnsi="Monotype Corsiva" w:cs="AngsanaUPC"/>
                <w:i w:val="0"/>
                <w:iCs w:val="0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7" type="#_x0000_t170" style="width:198pt;height:299.8pt" adj="2158" fillcolor="#520402" strokecolor="#00b050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font-size:16pt;v-text-kern:t" trim="t" fitpath="t" string="гражданам &#10;не пенсионного возраста &#10;и работающей категории, &#10;подвергшимся&#10;воздействию радиации&#10;вследствие аварии &#10;на Чернобыльской АЭС&#10;и других техногенных катастроф&#10;"/>
                </v:shape>
              </w:pict>
            </w:r>
          </w:p>
          <w:p w:rsidR="00E53170" w:rsidRDefault="00E53170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</w:p>
          <w:p w:rsidR="00E53170" w:rsidRPr="00F93594" w:rsidRDefault="00E53170" w:rsidP="00F93594">
            <w:pPr>
              <w:pStyle w:val="a7"/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4"/>
                <w:szCs w:val="24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4"/>
                <w:szCs w:val="24"/>
              </w:rPr>
              <w:t>АЛЕКСЕЕВКА</w:t>
            </w:r>
          </w:p>
          <w:p w:rsidR="00E53170" w:rsidRPr="0043428D" w:rsidRDefault="00E53170" w:rsidP="00F93594">
            <w:pPr>
              <w:spacing w:after="0" w:line="240" w:lineRule="auto"/>
              <w:rPr>
                <w:sz w:val="18"/>
                <w:szCs w:val="18"/>
              </w:rPr>
            </w:pPr>
          </w:p>
          <w:p w:rsidR="00E53170" w:rsidRPr="007264BE" w:rsidRDefault="00E53170" w:rsidP="00F93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170" w:rsidRDefault="00E53170">
      <w:pPr>
        <w:sectPr w:rsidR="00E53170" w:rsidSect="00103212">
          <w:pgSz w:w="16838" w:h="11906" w:orient="landscape"/>
          <w:pgMar w:top="284" w:right="397" w:bottom="284" w:left="397" w:header="709" w:footer="709" w:gutter="0"/>
          <w:cols w:num="3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</w:tblGrid>
      <w:tr w:rsidR="00E53170" w:rsidRPr="00F93594" w:rsidTr="00F93594">
        <w:trPr>
          <w:trHeight w:val="10905"/>
        </w:trPr>
        <w:tc>
          <w:tcPr>
            <w:tcW w:w="5092" w:type="dxa"/>
            <w:tcBorders>
              <w:top w:val="thinThickThinSmallGap" w:sz="12" w:space="0" w:color="00B050"/>
              <w:left w:val="thinThickThinSmallGap" w:sz="12" w:space="0" w:color="00B050"/>
              <w:bottom w:val="thinThickThinSmallGap" w:sz="12" w:space="0" w:color="00B050"/>
              <w:right w:val="thinThickThinSmallGap" w:sz="12" w:space="0" w:color="00B050"/>
            </w:tcBorders>
          </w:tcPr>
          <w:p w:rsidR="001102E0" w:rsidRDefault="001102E0" w:rsidP="00F9359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1. Е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жемесячная денежная компенсация при условии постоянного проживания до 2 декабря 1995г. на территории зоны проживания с льготным социально-экономическим </w:t>
            </w:r>
            <w:r w:rsidRPr="00F93594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статусом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(пункт 1 части второй статьи 19 ФЗ от 15.05.1991г. № 1244-1)  в размере </w:t>
            </w:r>
            <w:r w:rsidR="007C325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60,23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рублей.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2.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Ежемесячная денежная компенсация работающим в организациях зоны прожи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вания с льготным социально </w:t>
            </w:r>
            <w:r w:rsidRPr="00F935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экономическим статусом при условии постоянного проживания (работы) до 2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93594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1995 г</w:t>
              </w:r>
            </w:smartTag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(пункт 2 части второй статьи 19 ФЗ от 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15.05.1991г. № 1244-1) в размере </w:t>
            </w:r>
            <w:r w:rsidR="007C325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240,89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рублей.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>Перечень документов, необходимых для назначения вышеназванн</w:t>
            </w:r>
            <w:r w:rsidR="001F5E85">
              <w:rPr>
                <w:rFonts w:ascii="Times New Roman" w:hAnsi="Times New Roman"/>
                <w:sz w:val="20"/>
                <w:szCs w:val="20"/>
              </w:rPr>
              <w:t>ых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компенсационн</w:t>
            </w:r>
            <w:r w:rsidR="001F5E85">
              <w:rPr>
                <w:rFonts w:ascii="Times New Roman" w:hAnsi="Times New Roman"/>
                <w:sz w:val="20"/>
                <w:szCs w:val="20"/>
              </w:rPr>
              <w:t>ых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выплат </w:t>
            </w:r>
          </w:p>
          <w:p w:rsidR="00E53170" w:rsidRPr="00F93594" w:rsidRDefault="001F5E85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гражданам не пенсионного возраста (проживание)</w:t>
            </w:r>
            <w:r w:rsidR="00E633A3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E633A3" w:rsidRPr="00F9359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633A3" w:rsidRPr="00F93594">
              <w:rPr>
                <w:rFonts w:ascii="Times New Roman" w:hAnsi="Times New Roman"/>
                <w:b/>
                <w:sz w:val="20"/>
                <w:szCs w:val="20"/>
              </w:rPr>
              <w:t>аботающим гражданам</w:t>
            </w:r>
            <w:r w:rsidR="00550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33A3">
              <w:rPr>
                <w:rFonts w:ascii="Times New Roman" w:hAnsi="Times New Roman"/>
                <w:b/>
                <w:sz w:val="20"/>
                <w:szCs w:val="20"/>
              </w:rPr>
              <w:t>(работа)</w:t>
            </w:r>
            <w:r w:rsidR="00E53170" w:rsidRPr="00F9359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 о постоянном проживании  в зоне с льготным социально – экономическим статусом получателя пособия (организации</w:t>
            </w:r>
            <w:r w:rsidR="0090373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имеющие юридический адрес в других районах и городах представляют справку, что филиалы организаций расположены на территории с льготным социально-экономическим статусом);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 - копия сберегательной книжки или пластиковой карты (копия конверта) получателя </w:t>
            </w:r>
            <w:r w:rsidR="0055004B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5E85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 паспорта получателя </w:t>
            </w:r>
            <w:r w:rsidR="0055004B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="001F5E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5E85" w:rsidRPr="00F93594" w:rsidRDefault="001F5E85" w:rsidP="001F5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</w:t>
            </w:r>
            <w:r w:rsidR="00550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53170" w:rsidRPr="00F93594" w:rsidRDefault="00E53170" w:rsidP="001F5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ab/>
              <w:t>Назначение выплаты ежемесячной денежной компенсации гражданам</w:t>
            </w:r>
            <w:r w:rsidR="0090373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проживающим (работающим) в зоне с льготным социально-экономическим статусом </w:t>
            </w:r>
            <w:r w:rsidRPr="00F93594">
              <w:rPr>
                <w:rFonts w:ascii="Times New Roman" w:hAnsi="Times New Roman"/>
                <w:sz w:val="20"/>
                <w:szCs w:val="20"/>
                <w:u w:val="single"/>
              </w:rPr>
              <w:t>производится, начиная с месяца, следующего за месяцем подачи заявления и всех необходимых документов.</w:t>
            </w: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(Постановление Правительства РФ № 907 от 31 декабря 2004 года «О социальной поддержке граждан, подвергшихся воздействию радиации вследствие катастрофы на Чернобыльской АЭС»</w:t>
            </w:r>
            <w:r w:rsidR="00A328E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п.6 Правил выплаты ежемесячной денежной компенсации гражданам в зависимости от времени проживания (работы) на территории зон радиоактивного загрязнения вследствие катастрофы на Чернобыльской АЭС).</w:t>
            </w:r>
          </w:p>
          <w:p w:rsidR="00E53170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A328E7" w:rsidRDefault="00A328E7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E53170" w:rsidRPr="00103212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1102E0" w:rsidRDefault="001102E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3. Выплаты дополнительного оплачиваемого отпуска гражданам, работающим на 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территориях</w:t>
            </w:r>
            <w:r w:rsidR="004F09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подвергшихся воздействию радиации вследствие катастрофы на Черно</w:t>
            </w:r>
            <w:r w:rsidRPr="00F93594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быльской АЭС - зона с льготным социально-экономическим статусом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 4 части второй статьи 19 ФЗ от 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15.05.1991г. № 1244-1 и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Постановление 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Правительства Российской Федерации от 3 марта 2007 года № 136).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Перечень документов, необходимых для назначения вышеназванной  компенсационной выплаты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работающим гражданам: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сберегательной книжки или пластиковой карты (копия конверта) получателя пособия;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F93594">
              <w:rPr>
                <w:rFonts w:ascii="Times New Roman" w:hAnsi="Times New Roman"/>
                <w:sz w:val="20"/>
                <w:szCs w:val="20"/>
              </w:rPr>
              <w:t>- справка с места работы (о размере среднего заработка с указанием причитающейся к выплате итоговой суммы (за вычетом налогов в соответствии с законодательством Российской Федерации)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печатью.</w:t>
            </w:r>
            <w:proofErr w:type="gramEnd"/>
            <w:r w:rsidRPr="00F9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594">
              <w:rPr>
                <w:rFonts w:ascii="Times New Roman" w:hAnsi="Times New Roman"/>
                <w:sz w:val="20"/>
                <w:szCs w:val="20"/>
              </w:rPr>
              <w:t xml:space="preserve">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 - Постановление Правительства РФ от 3.03.2007г. № 136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«О порядке предоставления мер социальной под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держки гражданам, подвергшимся воздействию радиа</w:t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вследствие катастрофы на Чернобыльской АЭС и </w:t>
            </w:r>
            <w:r w:rsidRPr="00F935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ядерных испытаний на Семипалатинском полигоне, в 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связи с исполнением ими трудовых обязанностей, а так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 выплаты пособия на</w:t>
            </w:r>
            <w:proofErr w:type="gramEnd"/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погребение граждан, погибших (умерших) в связи с чернобыльской катастрофой»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3170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Pr="00F93594" w:rsidRDefault="007C3259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7C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" o:spid="_x0000_i1028" type="#_x0000_t75" style="width:180pt;height:96.2pt;visibility:visible">
                  <v:imagedata r:id="rId6" o:title=""/>
                </v:shape>
              </w:pic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4.Выплата ежегодного дополнительного вознаграждения за выслугу лет работникам, занятым на </w:t>
            </w:r>
            <w:proofErr w:type="gramStart"/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работах</w:t>
            </w:r>
            <w:proofErr w:type="gramEnd"/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на территориях, подвергшихся радиоактивному загрязнению в результате катастрофы на Чернобыльской АЭС 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(п.5 части 1 статьи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19 ФЗ от 15.05.1991г. № 1244-1 и 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Правительства Россий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от 23 февраля 2007г. № 125).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Перечень документов, необходимых для назначения вышеназванной  компенсационной выплаты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работающим гражданам: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от 1 года до 5 лет- 100,00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от 5 лет до 10 лет- 200,00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свыше 10 лет      -  300,00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 о постоянном проживании  в зоне с льготным социально – экономическим статусом получателя пособия (организации</w:t>
            </w:r>
            <w:r w:rsidR="004F0988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имеющие юридический адрес в других районах и городах представляют справку, что филиалы организаций расположены на территории с льготным социально-экономическим статусом);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 с указанием стажа работы, дающего право на получение дополнительного вознаграждения за выслугу лет, периода, за который выплачивается это вознаграждение, размер, основание, подписанная руководителем организации и главным бухгалтером (с расшифровками подписей) и заверенная печатью. (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Постановление Правительства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Российской Федерации от 23 февраля 2007г. № 125 «О внесении изменений в постановление Совета Минист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ров-Правительства Российской Федерации от 3 февраля </w:t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1993 года № 101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 или копия трудовой книжки получателя пособия</w:t>
            </w:r>
            <w:r w:rsidR="009037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сберегательной книжки или пластиковой карты (коп</w:t>
            </w:r>
            <w:r w:rsidR="004F0988">
              <w:rPr>
                <w:rFonts w:ascii="Times New Roman" w:hAnsi="Times New Roman"/>
                <w:sz w:val="20"/>
                <w:szCs w:val="20"/>
              </w:rPr>
              <w:t>ия конверта) получателя пособия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копия  паспорта получателя пособия.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 xml:space="preserve">Исчисление непрерывного стажа работы для выплаты дополнительного вознаграждения за выслугу лет производится, начиная с 26 апреля 1986г.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Документы для получения дополнительного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вознаграждения за выслугу лет предоставляются ежегодно </w:t>
            </w: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до 15 февраля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(Постановление Правительства  РФ от 23 февраля 2007г. № 125)</w:t>
            </w:r>
          </w:p>
        </w:tc>
      </w:tr>
    </w:tbl>
    <w:p w:rsidR="00E53170" w:rsidRDefault="00E53170" w:rsidP="00B33BFD">
      <w:pPr>
        <w:sectPr w:rsidR="00E53170" w:rsidSect="00103212">
          <w:pgSz w:w="16838" w:h="11906" w:orient="landscape"/>
          <w:pgMar w:top="284" w:right="397" w:bottom="284" w:left="397" w:header="709" w:footer="709" w:gutter="0"/>
          <w:cols w:num="3" w:space="708"/>
          <w:docGrid w:linePitch="360"/>
        </w:sectPr>
      </w:pPr>
    </w:p>
    <w:p w:rsidR="00E53170" w:rsidRDefault="00E53170" w:rsidP="00B33BFD"/>
    <w:p w:rsidR="00E53170" w:rsidRDefault="00E53170"/>
    <w:sectPr w:rsidR="00E53170" w:rsidSect="00103212">
      <w:pgSz w:w="16838" w:h="11906" w:orient="landscape"/>
      <w:pgMar w:top="284" w:right="39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C"/>
    <w:rsid w:val="000639CF"/>
    <w:rsid w:val="000F5333"/>
    <w:rsid w:val="00103212"/>
    <w:rsid w:val="001102E0"/>
    <w:rsid w:val="00197603"/>
    <w:rsid w:val="001D35FB"/>
    <w:rsid w:val="001F37DB"/>
    <w:rsid w:val="001F5E85"/>
    <w:rsid w:val="002334FB"/>
    <w:rsid w:val="003F76CE"/>
    <w:rsid w:val="0043428D"/>
    <w:rsid w:val="004F0988"/>
    <w:rsid w:val="0055004B"/>
    <w:rsid w:val="00607AB7"/>
    <w:rsid w:val="00620E74"/>
    <w:rsid w:val="006465F7"/>
    <w:rsid w:val="007264BE"/>
    <w:rsid w:val="007C3259"/>
    <w:rsid w:val="00903737"/>
    <w:rsid w:val="009107E3"/>
    <w:rsid w:val="00917A96"/>
    <w:rsid w:val="00A328E7"/>
    <w:rsid w:val="00AC6279"/>
    <w:rsid w:val="00B33BFD"/>
    <w:rsid w:val="00B34D08"/>
    <w:rsid w:val="00BF2668"/>
    <w:rsid w:val="00C517CC"/>
    <w:rsid w:val="00D1104C"/>
    <w:rsid w:val="00D42B3C"/>
    <w:rsid w:val="00D53969"/>
    <w:rsid w:val="00DB7695"/>
    <w:rsid w:val="00E2129E"/>
    <w:rsid w:val="00E53170"/>
    <w:rsid w:val="00E633A3"/>
    <w:rsid w:val="00EF4AA6"/>
    <w:rsid w:val="00F25E35"/>
    <w:rsid w:val="00F575EE"/>
    <w:rsid w:val="00F810A1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33BFD"/>
    <w:pPr>
      <w:widowControl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rsid w:val="00B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3BF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33BFD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33BFD"/>
    <w:pPr>
      <w:ind w:left="720"/>
      <w:contextualSpacing/>
    </w:pPr>
  </w:style>
  <w:style w:type="paragraph" w:styleId="a8">
    <w:name w:val="Body Text"/>
    <w:basedOn w:val="a"/>
    <w:link w:val="a9"/>
    <w:rsid w:val="00917A9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7A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2014-02-17T12:44:00Z</cp:lastPrinted>
  <dcterms:created xsi:type="dcterms:W3CDTF">2013-04-22T11:29:00Z</dcterms:created>
  <dcterms:modified xsi:type="dcterms:W3CDTF">2018-02-07T14:43:00Z</dcterms:modified>
</cp:coreProperties>
</file>